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9EE75" w14:textId="259E2D89" w:rsidR="00386D92" w:rsidRPr="00386D92" w:rsidRDefault="00522A21" w:rsidP="00386D92">
      <w:pPr>
        <w:pStyle w:val="Pealkiri1"/>
        <w:jc w:val="center"/>
      </w:pPr>
      <w:r>
        <w:t xml:space="preserve">LIIKLUSOHUTUSE </w:t>
      </w:r>
      <w:r w:rsidR="00386D92" w:rsidRPr="00386D92">
        <w:t>AUDITEERIMISE LÄHTEÜLESANNE (TEHNILINE KIRJELDUS)</w:t>
      </w:r>
    </w:p>
    <w:p w14:paraId="2A59EE76" w14:textId="77777777" w:rsidR="00386D92" w:rsidRDefault="00386D92" w:rsidP="00386D92">
      <w:pPr>
        <w:pStyle w:val="Pealkiri2"/>
      </w:pPr>
    </w:p>
    <w:p w14:paraId="2A59EE77" w14:textId="77777777" w:rsidR="00386D92" w:rsidRDefault="00386D92" w:rsidP="00386D92">
      <w:pPr>
        <w:pStyle w:val="Pealkiri2"/>
        <w:numPr>
          <w:ilvl w:val="1"/>
          <w:numId w:val="1"/>
        </w:numPr>
        <w:jc w:val="both"/>
      </w:pPr>
      <w:r>
        <w:t>Auditeerimise eesmärk</w:t>
      </w:r>
    </w:p>
    <w:p w14:paraId="2A59EE78" w14:textId="77777777" w:rsidR="00386D92" w:rsidRPr="00386D92" w:rsidRDefault="00386D92" w:rsidP="00386D92">
      <w:pPr>
        <w:pStyle w:val="Vahedeta"/>
        <w:numPr>
          <w:ilvl w:val="1"/>
          <w:numId w:val="4"/>
        </w:numPr>
        <w:jc w:val="both"/>
        <w:rPr>
          <w:rFonts w:ascii="Times New Roman" w:eastAsiaTheme="majorEastAsia" w:hAnsi="Times New Roman" w:cs="Times New Roman"/>
          <w:b/>
          <w:bCs/>
          <w:color w:val="4F81BD" w:themeColor="accent1"/>
          <w:sz w:val="24"/>
          <w:szCs w:val="24"/>
        </w:rPr>
      </w:pPr>
      <w:r w:rsidRPr="00386D92">
        <w:rPr>
          <w:rFonts w:ascii="Times New Roman" w:hAnsi="Times New Roman" w:cs="Times New Roman"/>
          <w:sz w:val="24"/>
          <w:szCs w:val="24"/>
        </w:rPr>
        <w:t>Auditeerimine on mõeldud tee projekteerimis- ja ehitusprotsessis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2A59EE79" w14:textId="170A6DDD" w:rsidR="00386D92" w:rsidRDefault="00386D92" w:rsidP="00386D92">
      <w:pPr>
        <w:pStyle w:val="Pealkiri2"/>
        <w:numPr>
          <w:ilvl w:val="1"/>
          <w:numId w:val="1"/>
        </w:numPr>
        <w:jc w:val="both"/>
      </w:pPr>
      <w:r>
        <w:t>Auditeeritav töö</w:t>
      </w:r>
      <w:r w:rsidR="00781984">
        <w:t>d</w:t>
      </w:r>
    </w:p>
    <w:p w14:paraId="2A59EE7B" w14:textId="2B06758A" w:rsidR="00386D92" w:rsidRDefault="00781984" w:rsidP="00781984">
      <w:pPr>
        <w:pStyle w:val="Loendilik"/>
        <w:numPr>
          <w:ilvl w:val="1"/>
          <w:numId w:val="3"/>
        </w:numPr>
        <w:jc w:val="both"/>
        <w:rPr>
          <w:rFonts w:ascii="Times New Roman" w:hAnsi="Times New Roman" w:cs="Times New Roman"/>
          <w:sz w:val="24"/>
          <w:szCs w:val="24"/>
        </w:rPr>
      </w:pPr>
      <w:r w:rsidRPr="00781984">
        <w:rPr>
          <w:rFonts w:ascii="Times New Roman" w:hAnsi="Times New Roman" w:cs="Times New Roman"/>
          <w:sz w:val="24"/>
          <w:szCs w:val="24"/>
        </w:rPr>
        <w:t>Riigitee nr 17149 Rakvere-Jõepere km 1,65 - 5,30 Taaravainu - Lepna lõigu põhiprojekti koostamine</w:t>
      </w:r>
      <w:r>
        <w:rPr>
          <w:rFonts w:ascii="Times New Roman" w:hAnsi="Times New Roman" w:cs="Times New Roman"/>
          <w:sz w:val="24"/>
          <w:szCs w:val="24"/>
        </w:rPr>
        <w:t xml:space="preserve">. Tuulekaru OÜ. </w:t>
      </w:r>
      <w:r w:rsidR="00386D92" w:rsidRPr="00781984">
        <w:rPr>
          <w:rFonts w:ascii="Times New Roman" w:hAnsi="Times New Roman" w:cs="Times New Roman"/>
          <w:sz w:val="24"/>
          <w:szCs w:val="24"/>
        </w:rPr>
        <w:t>Projekt asub</w:t>
      </w:r>
      <w:r w:rsidRPr="00781984">
        <w:rPr>
          <w:rFonts w:ascii="Times New Roman" w:hAnsi="Times New Roman" w:cs="Times New Roman"/>
          <w:sz w:val="24"/>
          <w:szCs w:val="24"/>
        </w:rPr>
        <w:t>: Projekt valmimisel</w:t>
      </w:r>
      <w:r w:rsidR="00365633">
        <w:rPr>
          <w:rFonts w:ascii="Times New Roman" w:hAnsi="Times New Roman" w:cs="Times New Roman"/>
          <w:sz w:val="24"/>
          <w:szCs w:val="24"/>
        </w:rPr>
        <w:t xml:space="preserve"> – </w:t>
      </w:r>
      <w:r w:rsidR="00F9672A">
        <w:rPr>
          <w:rFonts w:ascii="Times New Roman" w:hAnsi="Times New Roman" w:cs="Times New Roman"/>
          <w:sz w:val="24"/>
          <w:szCs w:val="24"/>
        </w:rPr>
        <w:t xml:space="preserve">LOA </w:t>
      </w:r>
      <w:r w:rsidR="00365633">
        <w:rPr>
          <w:rFonts w:ascii="Times New Roman" w:hAnsi="Times New Roman" w:cs="Times New Roman"/>
          <w:sz w:val="24"/>
          <w:szCs w:val="24"/>
        </w:rPr>
        <w:t>Etapp 2</w:t>
      </w:r>
    </w:p>
    <w:p w14:paraId="455633B5" w14:textId="02082629" w:rsidR="00781984" w:rsidRPr="00781984" w:rsidRDefault="00781984" w:rsidP="00781984">
      <w:pPr>
        <w:pStyle w:val="Loendilik"/>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365633">
        <w:rPr>
          <w:rFonts w:ascii="Times New Roman" w:hAnsi="Times New Roman" w:cs="Times New Roman"/>
          <w:sz w:val="24"/>
          <w:szCs w:val="24"/>
        </w:rPr>
        <w:t>R</w:t>
      </w:r>
      <w:r w:rsidR="00365633" w:rsidRPr="00365633">
        <w:rPr>
          <w:rFonts w:ascii="Times New Roman" w:hAnsi="Times New Roman" w:cs="Times New Roman"/>
          <w:sz w:val="24"/>
          <w:szCs w:val="24"/>
        </w:rPr>
        <w:t>iigitee 5 Pärnu–Rakvere–Sõmeru km 184,33–184,59 Sõmeru ringristmiku projekteerimine ja ehitus</w:t>
      </w:r>
      <w:r w:rsidR="00F9672A">
        <w:rPr>
          <w:rFonts w:ascii="Times New Roman" w:hAnsi="Times New Roman" w:cs="Times New Roman"/>
          <w:sz w:val="24"/>
          <w:szCs w:val="24"/>
        </w:rPr>
        <w:t>. Objekt valmimisel – LOA Etapp 3 ja 4.</w:t>
      </w:r>
    </w:p>
    <w:p w14:paraId="2A59EE7C" w14:textId="77777777" w:rsidR="00386D92" w:rsidRPr="00386D92" w:rsidRDefault="00386D92" w:rsidP="00386D92">
      <w:pPr>
        <w:pStyle w:val="Pealkiri2"/>
        <w:numPr>
          <w:ilvl w:val="0"/>
          <w:numId w:val="3"/>
        </w:numPr>
        <w:jc w:val="both"/>
      </w:pPr>
      <w:r w:rsidRPr="00386D92">
        <w:t>Auditeerimise etapp</w:t>
      </w:r>
    </w:p>
    <w:p w14:paraId="2A59EE7D" w14:textId="3876BA1A" w:rsidR="00386D92" w:rsidRDefault="005B4067" w:rsidP="00386D92">
      <w:pPr>
        <w:pStyle w:val="Vahedet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Etapp 2 </w:t>
      </w:r>
      <w:r w:rsidR="00386D92" w:rsidRPr="00781984">
        <w:rPr>
          <w:rFonts w:ascii="Times New Roman" w:hAnsi="Times New Roman" w:cs="Times New Roman"/>
          <w:sz w:val="24"/>
          <w:szCs w:val="24"/>
        </w:rPr>
        <w:t>põhiprojekt</w:t>
      </w:r>
      <w:r w:rsidR="00A51EDE" w:rsidRPr="00781984">
        <w:rPr>
          <w:rFonts w:ascii="Times New Roman" w:hAnsi="Times New Roman" w:cs="Times New Roman"/>
          <w:sz w:val="24"/>
          <w:szCs w:val="24"/>
        </w:rPr>
        <w:t xml:space="preserve"> </w:t>
      </w:r>
      <w:r>
        <w:rPr>
          <w:rFonts w:ascii="Times New Roman" w:hAnsi="Times New Roman" w:cs="Times New Roman"/>
          <w:sz w:val="24"/>
          <w:szCs w:val="24"/>
        </w:rPr>
        <w:t>(töö p2.1)</w:t>
      </w:r>
    </w:p>
    <w:p w14:paraId="1258DB2A" w14:textId="6E70DE68" w:rsidR="005B4067" w:rsidRPr="00781984" w:rsidRDefault="005B4067" w:rsidP="00386D92">
      <w:pPr>
        <w:pStyle w:val="Vahedet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Etapp 3 </w:t>
      </w:r>
      <w:r w:rsidRPr="005B4067">
        <w:rPr>
          <w:rFonts w:ascii="Times New Roman" w:hAnsi="Times New Roman" w:cs="Times New Roman"/>
          <w:sz w:val="24"/>
          <w:szCs w:val="24"/>
        </w:rPr>
        <w:t xml:space="preserve">vahetult enne liiklusele avamist </w:t>
      </w:r>
      <w:r>
        <w:rPr>
          <w:rFonts w:ascii="Times New Roman" w:hAnsi="Times New Roman" w:cs="Times New Roman"/>
          <w:sz w:val="24"/>
          <w:szCs w:val="24"/>
        </w:rPr>
        <w:t>ja etapp 4</w:t>
      </w:r>
      <w:r w:rsidRPr="005B4067">
        <w:rPr>
          <w:rFonts w:ascii="Times New Roman" w:hAnsi="Times New Roman" w:cs="Times New Roman"/>
          <w:sz w:val="24"/>
          <w:szCs w:val="24"/>
        </w:rPr>
        <w:t xml:space="preserve"> pärast tee avamist liiklusele</w:t>
      </w:r>
      <w:r>
        <w:rPr>
          <w:rFonts w:ascii="Times New Roman" w:hAnsi="Times New Roman" w:cs="Times New Roman"/>
          <w:sz w:val="24"/>
          <w:szCs w:val="24"/>
        </w:rPr>
        <w:t xml:space="preserve"> (töö p2.2)</w:t>
      </w:r>
    </w:p>
    <w:p w14:paraId="2A59EE7E" w14:textId="77777777" w:rsidR="00386D92" w:rsidRPr="00386D92" w:rsidRDefault="00386D92" w:rsidP="00386D92">
      <w:pPr>
        <w:pStyle w:val="Pealkiri2"/>
        <w:numPr>
          <w:ilvl w:val="0"/>
          <w:numId w:val="3"/>
        </w:numPr>
        <w:jc w:val="both"/>
      </w:pPr>
      <w:r w:rsidRPr="00386D92">
        <w:t>Töö teostamisel juhinduda</w:t>
      </w:r>
    </w:p>
    <w:p w14:paraId="2A59EE7F" w14:textId="77777777" w:rsidR="00386D92" w:rsidRPr="00386D92" w:rsidRDefault="00386D92" w:rsidP="00386D92">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„Liiklusohutuse auditeerimise tingimused ja nõuded auditi tegemisele“  Majandus- ja taristuministri 02.07.2015 määrus nr 83; avaldamismärge RT I, 03.07.2015, 32;</w:t>
      </w:r>
    </w:p>
    <w:p w14:paraId="2A59EE80" w14:textId="77777777" w:rsidR="00386D92" w:rsidRPr="00386D92" w:rsidRDefault="00386D92" w:rsidP="00386D92">
      <w:pPr>
        <w:pStyle w:val="Pealkiri2"/>
        <w:numPr>
          <w:ilvl w:val="0"/>
          <w:numId w:val="3"/>
        </w:numPr>
        <w:jc w:val="both"/>
      </w:pPr>
      <w:r w:rsidRPr="00386D92">
        <w:t>Töö teostamise ajakava</w:t>
      </w:r>
    </w:p>
    <w:p w14:paraId="2A59EE81" w14:textId="77777777" w:rsidR="00386D92" w:rsidRDefault="00386D92" w:rsidP="00386D92">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Töö teostamise aluseks loetakse Lepingu allkirjastamist Poolte poolt</w:t>
      </w:r>
      <w:r>
        <w:rPr>
          <w:rFonts w:ascii="Times New Roman" w:hAnsi="Times New Roman" w:cs="Times New Roman"/>
          <w:sz w:val="24"/>
          <w:szCs w:val="24"/>
        </w:rPr>
        <w:t>.</w:t>
      </w:r>
    </w:p>
    <w:p w14:paraId="2A59EE82" w14:textId="55738CE7" w:rsidR="00386D92" w:rsidRDefault="00386D92" w:rsidP="00386D92">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Töö kestvuseks on</w:t>
      </w:r>
      <w:r w:rsidR="00781984">
        <w:rPr>
          <w:rFonts w:ascii="Times New Roman" w:hAnsi="Times New Roman" w:cs="Times New Roman"/>
          <w:sz w:val="24"/>
          <w:szCs w:val="24"/>
        </w:rPr>
        <w:t xml:space="preserve"> kokku</w:t>
      </w:r>
      <w:r w:rsidRPr="00386D92">
        <w:rPr>
          <w:rFonts w:ascii="Times New Roman" w:hAnsi="Times New Roman" w:cs="Times New Roman"/>
          <w:sz w:val="24"/>
          <w:szCs w:val="24"/>
        </w:rPr>
        <w:t xml:space="preserve"> </w:t>
      </w:r>
      <w:r w:rsidR="00781984">
        <w:rPr>
          <w:rFonts w:ascii="Times New Roman" w:hAnsi="Times New Roman" w:cs="Times New Roman"/>
          <w:sz w:val="24"/>
          <w:szCs w:val="24"/>
        </w:rPr>
        <w:t>14</w:t>
      </w:r>
      <w:r w:rsidRPr="00386D92">
        <w:rPr>
          <w:rFonts w:ascii="Times New Roman" w:hAnsi="Times New Roman" w:cs="Times New Roman"/>
          <w:sz w:val="24"/>
          <w:szCs w:val="24"/>
        </w:rPr>
        <w:t xml:space="preserve"> päeva.</w:t>
      </w:r>
      <w:r w:rsidR="00BE6814">
        <w:rPr>
          <w:rFonts w:ascii="Times New Roman" w:hAnsi="Times New Roman" w:cs="Times New Roman"/>
          <w:sz w:val="24"/>
          <w:szCs w:val="24"/>
        </w:rPr>
        <w:t xml:space="preserve"> </w:t>
      </w:r>
      <w:r w:rsidR="00781984" w:rsidRPr="00781984">
        <w:rPr>
          <w:rFonts w:ascii="Times New Roman" w:hAnsi="Times New Roman" w:cs="Times New Roman"/>
          <w:sz w:val="24"/>
          <w:szCs w:val="24"/>
        </w:rPr>
        <w:t xml:space="preserve">Auditeeritava töö p2.1 </w:t>
      </w:r>
      <w:r w:rsidR="00BE6814" w:rsidRPr="00781984">
        <w:rPr>
          <w:rFonts w:ascii="Times New Roman" w:hAnsi="Times New Roman" w:cs="Times New Roman"/>
          <w:sz w:val="24"/>
          <w:szCs w:val="24"/>
        </w:rPr>
        <w:t xml:space="preserve">kestvuseks on </w:t>
      </w:r>
      <w:r w:rsidR="00781984" w:rsidRPr="00781984">
        <w:rPr>
          <w:rFonts w:ascii="Times New Roman" w:hAnsi="Times New Roman" w:cs="Times New Roman"/>
          <w:sz w:val="24"/>
          <w:szCs w:val="24"/>
        </w:rPr>
        <w:t>7</w:t>
      </w:r>
      <w:r w:rsidR="00BE6814" w:rsidRPr="00781984">
        <w:rPr>
          <w:rFonts w:ascii="Times New Roman" w:hAnsi="Times New Roman" w:cs="Times New Roman"/>
          <w:sz w:val="24"/>
          <w:szCs w:val="24"/>
        </w:rPr>
        <w:t xml:space="preserve"> päeva ning</w:t>
      </w:r>
      <w:r w:rsidR="00781984" w:rsidRPr="00781984">
        <w:rPr>
          <w:rFonts w:ascii="Times New Roman" w:hAnsi="Times New Roman" w:cs="Times New Roman"/>
          <w:sz w:val="24"/>
          <w:szCs w:val="24"/>
        </w:rPr>
        <w:t xml:space="preserve"> töö p2.2 kestvuseks</w:t>
      </w:r>
      <w:r w:rsidR="00BE6814" w:rsidRPr="00781984">
        <w:rPr>
          <w:rFonts w:ascii="Times New Roman" w:hAnsi="Times New Roman" w:cs="Times New Roman"/>
          <w:sz w:val="24"/>
          <w:szCs w:val="24"/>
        </w:rPr>
        <w:t xml:space="preserve"> </w:t>
      </w:r>
      <w:r w:rsidR="00781984" w:rsidRPr="00781984">
        <w:rPr>
          <w:rFonts w:ascii="Times New Roman" w:hAnsi="Times New Roman" w:cs="Times New Roman"/>
          <w:sz w:val="24"/>
          <w:szCs w:val="24"/>
        </w:rPr>
        <w:t>7 päeva alates alustamiskorraldusest.</w:t>
      </w:r>
      <w:r w:rsidR="00781984">
        <w:rPr>
          <w:rFonts w:ascii="Times New Roman" w:hAnsi="Times New Roman" w:cs="Times New Roman"/>
          <w:sz w:val="24"/>
          <w:szCs w:val="24"/>
        </w:rPr>
        <w:t xml:space="preserve"> Mõlemale tööle antakse eraldi alustamiskorraldused. Alustamiskorraldused antakse selliselt, et need ei kattuks eelmise töö tegemise perioodiga.</w:t>
      </w:r>
    </w:p>
    <w:p w14:paraId="4CF1660A" w14:textId="6FF055EF" w:rsidR="00781984" w:rsidRDefault="00781984" w:rsidP="00386D92">
      <w:pPr>
        <w:pStyle w:val="Vahedeta"/>
        <w:numPr>
          <w:ilvl w:val="1"/>
          <w:numId w:val="3"/>
        </w:numPr>
        <w:jc w:val="both"/>
        <w:rPr>
          <w:rFonts w:ascii="Times New Roman" w:hAnsi="Times New Roman" w:cs="Times New Roman"/>
          <w:sz w:val="24"/>
          <w:szCs w:val="24"/>
        </w:rPr>
      </w:pPr>
      <w:r>
        <w:rPr>
          <w:rFonts w:ascii="Times New Roman" w:hAnsi="Times New Roman" w:cs="Times New Roman"/>
          <w:sz w:val="24"/>
          <w:szCs w:val="24"/>
        </w:rPr>
        <w:t>Riigimaantee 17149 põhiprojekt on käesoleval momendil valmimisel ja esitatakse tellijale eeldatavasti 23.06.2022</w:t>
      </w:r>
      <w:r w:rsidR="005B4067" w:rsidRPr="005B4067">
        <w:rPr>
          <w:rFonts w:ascii="Times New Roman" w:hAnsi="Times New Roman" w:cs="Times New Roman"/>
          <w:sz w:val="24"/>
          <w:szCs w:val="24"/>
        </w:rPr>
        <w:t xml:space="preserve"> </w:t>
      </w:r>
      <w:r w:rsidR="005B4067">
        <w:rPr>
          <w:rFonts w:ascii="Times New Roman" w:hAnsi="Times New Roman" w:cs="Times New Roman"/>
          <w:sz w:val="24"/>
          <w:szCs w:val="24"/>
        </w:rPr>
        <w:t>kuupäevaks. Alustamiskorralduse eeldatav andmise aeg on</w:t>
      </w:r>
      <w:r w:rsidR="008F1501">
        <w:rPr>
          <w:rFonts w:ascii="Times New Roman" w:hAnsi="Times New Roman" w:cs="Times New Roman"/>
          <w:sz w:val="24"/>
          <w:szCs w:val="24"/>
        </w:rPr>
        <w:t xml:space="preserve"> esimesel võimalusel</w:t>
      </w:r>
      <w:r w:rsidR="005B4067">
        <w:rPr>
          <w:rFonts w:ascii="Times New Roman" w:hAnsi="Times New Roman" w:cs="Times New Roman"/>
          <w:sz w:val="24"/>
          <w:szCs w:val="24"/>
        </w:rPr>
        <w:t xml:space="preserve"> alates 28.06.2022.</w:t>
      </w:r>
    </w:p>
    <w:p w14:paraId="67B7A3C7" w14:textId="4D31A165" w:rsidR="005B4067" w:rsidRPr="00386D92" w:rsidRDefault="005B4067" w:rsidP="00386D92">
      <w:pPr>
        <w:pStyle w:val="Vahedeta"/>
        <w:numPr>
          <w:ilvl w:val="1"/>
          <w:numId w:val="3"/>
        </w:numPr>
        <w:jc w:val="both"/>
        <w:rPr>
          <w:rFonts w:ascii="Times New Roman" w:hAnsi="Times New Roman" w:cs="Times New Roman"/>
          <w:sz w:val="24"/>
          <w:szCs w:val="24"/>
        </w:rPr>
      </w:pPr>
      <w:r>
        <w:rPr>
          <w:rFonts w:ascii="Times New Roman" w:hAnsi="Times New Roman" w:cs="Times New Roman"/>
          <w:sz w:val="24"/>
          <w:szCs w:val="24"/>
        </w:rPr>
        <w:t>Riigimaantee 5 Sõmeru ringristmiku ehituse objektil on käesolevaks hetkeks veel teekattemärgistus paigaldamata. Töö teostatakse eeldatavasti juuli</w:t>
      </w:r>
      <w:r w:rsidR="00F9672A">
        <w:rPr>
          <w:rFonts w:ascii="Times New Roman" w:hAnsi="Times New Roman" w:cs="Times New Roman"/>
          <w:sz w:val="24"/>
          <w:szCs w:val="24"/>
        </w:rPr>
        <w:t xml:space="preserve"> teiseks nädalaks</w:t>
      </w:r>
      <w:r>
        <w:rPr>
          <w:rFonts w:ascii="Times New Roman" w:hAnsi="Times New Roman" w:cs="Times New Roman"/>
          <w:sz w:val="24"/>
          <w:szCs w:val="24"/>
        </w:rPr>
        <w:t>. Alustamiskorraldus p2.2 töö tegemiseks antakse peale p2.1 töö täitmise tähtaja saabumist</w:t>
      </w:r>
      <w:r w:rsidR="00F9672A">
        <w:rPr>
          <w:rFonts w:ascii="Times New Roman" w:hAnsi="Times New Roman" w:cs="Times New Roman"/>
          <w:sz w:val="24"/>
          <w:szCs w:val="24"/>
        </w:rPr>
        <w:t xml:space="preserve"> või teekattemärgistuse paigaldamist.</w:t>
      </w:r>
    </w:p>
    <w:p w14:paraId="2A59EE83" w14:textId="77777777" w:rsidR="00386D92" w:rsidRPr="00386D92" w:rsidRDefault="00386D92" w:rsidP="00386D92">
      <w:pPr>
        <w:pStyle w:val="Pealkiri2"/>
        <w:numPr>
          <w:ilvl w:val="0"/>
          <w:numId w:val="3"/>
        </w:numPr>
        <w:jc w:val="both"/>
      </w:pPr>
      <w:r w:rsidRPr="00386D92">
        <w:t>Töö esitamine</w:t>
      </w:r>
    </w:p>
    <w:p w14:paraId="2A59EE84" w14:textId="65A72C90" w:rsidR="00A51EDE" w:rsidRDefault="00A51EDE" w:rsidP="00386D92">
      <w:pPr>
        <w:pStyle w:val="Vahedeta"/>
        <w:numPr>
          <w:ilvl w:val="1"/>
          <w:numId w:val="3"/>
        </w:numPr>
        <w:jc w:val="both"/>
        <w:rPr>
          <w:rFonts w:ascii="Times New Roman" w:hAnsi="Times New Roman" w:cs="Times New Roman"/>
          <w:sz w:val="24"/>
          <w:szCs w:val="24"/>
        </w:rPr>
      </w:pPr>
      <w:r>
        <w:rPr>
          <w:rFonts w:ascii="Times New Roman" w:hAnsi="Times New Roman" w:cs="Times New Roman"/>
          <w:sz w:val="24"/>
          <w:szCs w:val="24"/>
        </w:rPr>
        <w:t>Töövõtja k</w:t>
      </w:r>
      <w:r w:rsidR="00DB3FD1">
        <w:rPr>
          <w:rFonts w:ascii="Times New Roman" w:hAnsi="Times New Roman" w:cs="Times New Roman"/>
          <w:sz w:val="24"/>
          <w:szCs w:val="24"/>
        </w:rPr>
        <w:t>ohustus on esitada</w:t>
      </w:r>
      <w:r>
        <w:rPr>
          <w:rFonts w:ascii="Times New Roman" w:hAnsi="Times New Roman" w:cs="Times New Roman"/>
          <w:sz w:val="24"/>
          <w:szCs w:val="24"/>
        </w:rPr>
        <w:t xml:space="preserve"> projekti </w:t>
      </w:r>
      <w:r w:rsidR="00F9672A">
        <w:rPr>
          <w:rFonts w:ascii="Times New Roman" w:hAnsi="Times New Roman" w:cs="Times New Roman"/>
          <w:sz w:val="24"/>
          <w:szCs w:val="24"/>
        </w:rPr>
        <w:t>ja</w:t>
      </w:r>
      <w:r>
        <w:rPr>
          <w:rFonts w:ascii="Times New Roman" w:hAnsi="Times New Roman" w:cs="Times New Roman"/>
          <w:sz w:val="24"/>
          <w:szCs w:val="24"/>
        </w:rPr>
        <w:t xml:space="preserve"> objekti </w:t>
      </w:r>
      <w:r w:rsidR="00BE6814">
        <w:rPr>
          <w:rFonts w:ascii="Times New Roman" w:hAnsi="Times New Roman" w:cs="Times New Roman"/>
          <w:sz w:val="24"/>
          <w:szCs w:val="24"/>
        </w:rPr>
        <w:t>auditeeritava etapi</w:t>
      </w:r>
      <w:r>
        <w:rPr>
          <w:rFonts w:ascii="Times New Roman" w:hAnsi="Times New Roman" w:cs="Times New Roman"/>
          <w:sz w:val="24"/>
          <w:szCs w:val="24"/>
        </w:rPr>
        <w:t xml:space="preserve"> </w:t>
      </w:r>
      <w:r w:rsidR="00BE6814">
        <w:rPr>
          <w:rFonts w:ascii="Times New Roman" w:hAnsi="Times New Roman" w:cs="Times New Roman"/>
          <w:sz w:val="24"/>
          <w:szCs w:val="24"/>
        </w:rPr>
        <w:t xml:space="preserve">auditi </w:t>
      </w:r>
      <w:r>
        <w:rPr>
          <w:rFonts w:ascii="Times New Roman" w:hAnsi="Times New Roman" w:cs="Times New Roman"/>
          <w:sz w:val="24"/>
          <w:szCs w:val="24"/>
        </w:rPr>
        <w:t>aruanne ning auditi aruande lisa 1</w:t>
      </w:r>
      <w:r w:rsidR="00F9672A">
        <w:rPr>
          <w:rFonts w:ascii="Times New Roman" w:hAnsi="Times New Roman" w:cs="Times New Roman"/>
          <w:sz w:val="24"/>
          <w:szCs w:val="24"/>
        </w:rPr>
        <w:t xml:space="preserve"> vormistatune objekti kaupa eraldi.</w:t>
      </w:r>
    </w:p>
    <w:p w14:paraId="2A59EE85" w14:textId="082A8170" w:rsidR="0044195B" w:rsidRDefault="0044195B" w:rsidP="00386D92">
      <w:pPr>
        <w:pStyle w:val="Vahedeta"/>
        <w:numPr>
          <w:ilvl w:val="1"/>
          <w:numId w:val="3"/>
        </w:numPr>
        <w:jc w:val="both"/>
        <w:rPr>
          <w:rFonts w:ascii="Times New Roman" w:hAnsi="Times New Roman" w:cs="Times New Roman"/>
          <w:sz w:val="24"/>
          <w:szCs w:val="24"/>
        </w:rPr>
      </w:pPr>
      <w:r>
        <w:rPr>
          <w:rFonts w:ascii="Times New Roman" w:hAnsi="Times New Roman" w:cs="Times New Roman"/>
          <w:sz w:val="24"/>
          <w:szCs w:val="24"/>
        </w:rPr>
        <w:t>Auditi aruan</w:t>
      </w:r>
      <w:r w:rsidR="00F9672A">
        <w:rPr>
          <w:rFonts w:ascii="Times New Roman" w:hAnsi="Times New Roman" w:cs="Times New Roman"/>
          <w:sz w:val="24"/>
          <w:szCs w:val="24"/>
        </w:rPr>
        <w:t>ded</w:t>
      </w:r>
      <w:r>
        <w:rPr>
          <w:rFonts w:ascii="Times New Roman" w:hAnsi="Times New Roman" w:cs="Times New Roman"/>
          <w:sz w:val="24"/>
          <w:szCs w:val="24"/>
        </w:rPr>
        <w:t xml:space="preserve"> pea</w:t>
      </w:r>
      <w:r w:rsidR="00F9672A">
        <w:rPr>
          <w:rFonts w:ascii="Times New Roman" w:hAnsi="Times New Roman" w:cs="Times New Roman"/>
          <w:sz w:val="24"/>
          <w:szCs w:val="24"/>
        </w:rPr>
        <w:t>vad</w:t>
      </w:r>
      <w:r>
        <w:rPr>
          <w:rFonts w:ascii="Times New Roman" w:hAnsi="Times New Roman" w:cs="Times New Roman"/>
          <w:sz w:val="24"/>
          <w:szCs w:val="24"/>
        </w:rPr>
        <w:t xml:space="preserve"> olema allkirjastatud pädeva isiku poolt.</w:t>
      </w:r>
    </w:p>
    <w:p w14:paraId="2A59EE86" w14:textId="61B46C7E" w:rsidR="00386D92" w:rsidRPr="000A0C9D" w:rsidRDefault="00386D92" w:rsidP="000A0C9D">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 xml:space="preserve">Töö esitada </w:t>
      </w:r>
      <w:r w:rsidR="0044195B">
        <w:rPr>
          <w:rFonts w:ascii="Times New Roman" w:hAnsi="Times New Roman" w:cs="Times New Roman"/>
          <w:sz w:val="24"/>
          <w:szCs w:val="24"/>
        </w:rPr>
        <w:t>digitaalselt</w:t>
      </w:r>
      <w:r w:rsidR="0044195B" w:rsidRPr="00386D92">
        <w:rPr>
          <w:rFonts w:ascii="Times New Roman" w:hAnsi="Times New Roman" w:cs="Times New Roman"/>
          <w:sz w:val="24"/>
          <w:szCs w:val="24"/>
        </w:rPr>
        <w:t xml:space="preserve"> *.doc või *.docx</w:t>
      </w:r>
      <w:r w:rsidR="0044195B">
        <w:rPr>
          <w:rFonts w:ascii="Times New Roman" w:hAnsi="Times New Roman" w:cs="Times New Roman"/>
          <w:sz w:val="24"/>
          <w:szCs w:val="24"/>
        </w:rPr>
        <w:t xml:space="preserve"> formaadis</w:t>
      </w:r>
      <w:r w:rsidR="00E46884">
        <w:rPr>
          <w:rFonts w:ascii="Times New Roman" w:hAnsi="Times New Roman" w:cs="Times New Roman"/>
          <w:sz w:val="24"/>
          <w:szCs w:val="24"/>
        </w:rPr>
        <w:t xml:space="preserve">. </w:t>
      </w:r>
    </w:p>
    <w:p w14:paraId="2A59EE87" w14:textId="77777777" w:rsidR="00386D92" w:rsidRPr="00386D92" w:rsidRDefault="00386D92" w:rsidP="00386D92">
      <w:pPr>
        <w:pStyle w:val="Pealkiri2"/>
        <w:numPr>
          <w:ilvl w:val="0"/>
          <w:numId w:val="3"/>
        </w:numPr>
        <w:jc w:val="both"/>
      </w:pPr>
      <w:r w:rsidRPr="00386D92">
        <w:lastRenderedPageBreak/>
        <w:t>Nõuded auditi koostajale</w:t>
      </w:r>
    </w:p>
    <w:p w14:paraId="2A59EE88" w14:textId="77777777" w:rsidR="00386D92" w:rsidRDefault="00386D92" w:rsidP="00386D92">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Auditeerimist võib teha pädev isik, kelle kvalifikatsioon on tõendatud liiklusohutuse auditi tegemise tegevusalal.</w:t>
      </w:r>
    </w:p>
    <w:p w14:paraId="2A59EE89" w14:textId="77777777" w:rsidR="000B3605" w:rsidRDefault="00386D92" w:rsidP="00386D92">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Auditeerimisse võib tellija teadmisel kaasata teisi eksperte. Kui auditeerimist teeb audiitorite rühm, peab vähemalt ühe rühma liikme kvalifikatsioon olema tõendatud.</w:t>
      </w:r>
    </w:p>
    <w:p w14:paraId="2A59EE8A" w14:textId="77777777" w:rsidR="008E43D2" w:rsidRDefault="008E43D2" w:rsidP="0043376E">
      <w:pPr>
        <w:pStyle w:val="Pealkiri2"/>
        <w:numPr>
          <w:ilvl w:val="0"/>
          <w:numId w:val="3"/>
        </w:numPr>
      </w:pPr>
      <w:r>
        <w:t>Töö teostamiseks esitatud informatsioon</w:t>
      </w:r>
    </w:p>
    <w:p w14:paraId="2A59EE8B" w14:textId="77777777" w:rsidR="00E92A36" w:rsidRPr="00E92A36" w:rsidRDefault="00E92A36" w:rsidP="00E92A36">
      <w:pPr>
        <w:pStyle w:val="Vahedeta"/>
        <w:numPr>
          <w:ilvl w:val="1"/>
          <w:numId w:val="3"/>
        </w:numPr>
        <w:rPr>
          <w:rFonts w:ascii="Times New Roman" w:hAnsi="Times New Roman" w:cs="Times New Roman"/>
          <w:sz w:val="24"/>
          <w:szCs w:val="24"/>
        </w:rPr>
      </w:pPr>
      <w:r w:rsidRPr="00E92A36">
        <w:rPr>
          <w:rFonts w:ascii="Times New Roman" w:hAnsi="Times New Roman" w:cs="Times New Roman"/>
          <w:sz w:val="24"/>
          <w:szCs w:val="24"/>
        </w:rPr>
        <w:t>Projektdokumentatsioon vastavalt tabelile.</w:t>
      </w:r>
    </w:p>
    <w:p w14:paraId="2A59EE8C" w14:textId="77777777" w:rsidR="0085124A" w:rsidRDefault="00E92A36" w:rsidP="00E92A36">
      <w:pPr>
        <w:pStyle w:val="Vahedeta"/>
        <w:rPr>
          <w:rFonts w:ascii="Times New Roman" w:hAnsi="Times New Roman" w:cs="Times New Roman"/>
          <w:i/>
          <w:sz w:val="24"/>
          <w:szCs w:val="24"/>
        </w:rPr>
      </w:pPr>
      <w:r w:rsidRPr="00DF5B6E">
        <w:rPr>
          <w:rFonts w:ascii="Times New Roman" w:hAnsi="Times New Roman" w:cs="Times New Roman"/>
          <w:i/>
          <w:sz w:val="24"/>
          <w:szCs w:val="24"/>
          <w:highlight w:val="lightGray"/>
        </w:rPr>
        <w:t>Selgituseks. Projektdokumentatsioon on vajalik lähtuvalt auditi määruses toodud ülesannetest vajalik eelprojekti, põhiprojekti ja vahetult enne liiklusele avamise etapi auditi teostamiseks.</w:t>
      </w:r>
      <w:r w:rsidR="005B2F23" w:rsidRPr="00DF5B6E">
        <w:rPr>
          <w:rFonts w:ascii="Times New Roman" w:hAnsi="Times New Roman" w:cs="Times New Roman"/>
          <w:i/>
          <w:sz w:val="24"/>
          <w:szCs w:val="24"/>
          <w:highlight w:val="lightGray"/>
        </w:rPr>
        <w:t xml:space="preserve"> Juhul, kui auditi koostaja soovib projektlahendust ka pärast tee avamist liiklusele etapis, anname selle vajadusel pärast lepingu sõlmimist.</w:t>
      </w:r>
    </w:p>
    <w:p w14:paraId="2A59EE8D" w14:textId="77777777" w:rsidR="00E92A36" w:rsidRPr="00E92A36" w:rsidRDefault="00E92A36" w:rsidP="00E92A36">
      <w:pPr>
        <w:pStyle w:val="Vahedeta"/>
        <w:rPr>
          <w:rFonts w:ascii="Times New Roman" w:hAnsi="Times New Roman" w:cs="Times New Roman"/>
          <w:sz w:val="24"/>
          <w:szCs w:val="24"/>
        </w:rPr>
      </w:pPr>
    </w:p>
    <w:tbl>
      <w:tblPr>
        <w:tblStyle w:val="Kontuurtabel"/>
        <w:tblW w:w="0" w:type="auto"/>
        <w:tblCellMar>
          <w:top w:w="28" w:type="dxa"/>
          <w:bottom w:w="28" w:type="dxa"/>
        </w:tblCellMar>
        <w:tblLook w:val="04A0" w:firstRow="1" w:lastRow="0" w:firstColumn="1" w:lastColumn="0" w:noHBand="0" w:noVBand="1"/>
      </w:tblPr>
      <w:tblGrid>
        <w:gridCol w:w="5920"/>
        <w:gridCol w:w="3291"/>
      </w:tblGrid>
      <w:tr w:rsidR="0043376E" w:rsidRPr="0085124A" w14:paraId="2A59EE91" w14:textId="77777777" w:rsidTr="0032599A">
        <w:tc>
          <w:tcPr>
            <w:tcW w:w="5920" w:type="dxa"/>
          </w:tcPr>
          <w:p w14:paraId="2A59EE8E"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ehitusprojektiga hõlmatud ala skeem topograafilisel kaardil;</w:t>
            </w:r>
          </w:p>
        </w:tc>
        <w:tc>
          <w:tcPr>
            <w:tcW w:w="3291" w:type="dxa"/>
          </w:tcPr>
          <w:p w14:paraId="2A59EE8F" w14:textId="77777777" w:rsidR="0043376E" w:rsidRDefault="005B2F23" w:rsidP="005B2F23">
            <w:pPr>
              <w:rPr>
                <w:rFonts w:ascii="Times New Roman" w:hAnsi="Times New Roman" w:cs="Times New Roman"/>
                <w:i/>
                <w:sz w:val="24"/>
                <w:szCs w:val="24"/>
              </w:rPr>
            </w:pPr>
            <w:r w:rsidRPr="00DF5B6E">
              <w:rPr>
                <w:rFonts w:ascii="Times New Roman" w:hAnsi="Times New Roman" w:cs="Times New Roman"/>
                <w:i/>
                <w:sz w:val="24"/>
                <w:szCs w:val="24"/>
                <w:highlight w:val="lightGray"/>
              </w:rPr>
              <w:t>Selgitus tabeli täitmise osas.</w:t>
            </w:r>
          </w:p>
          <w:p w14:paraId="2A59EE90" w14:textId="77777777" w:rsidR="005B2F23" w:rsidRPr="005B2F23" w:rsidRDefault="005B2F23" w:rsidP="005B2F23">
            <w:pPr>
              <w:rPr>
                <w:rFonts w:ascii="Times New Roman" w:hAnsi="Times New Roman" w:cs="Times New Roman"/>
                <w:sz w:val="24"/>
                <w:szCs w:val="24"/>
              </w:rPr>
            </w:pPr>
            <w:r>
              <w:rPr>
                <w:rFonts w:ascii="Times New Roman" w:hAnsi="Times New Roman" w:cs="Times New Roman"/>
                <w:sz w:val="24"/>
                <w:szCs w:val="24"/>
              </w:rPr>
              <w:t>Esitatud projekti plaaniline lahendus ja liikluskorraldus.</w:t>
            </w:r>
          </w:p>
        </w:tc>
      </w:tr>
      <w:tr w:rsidR="0043376E" w:rsidRPr="0085124A" w14:paraId="2A59EE95" w14:textId="77777777" w:rsidTr="0032599A">
        <w:tc>
          <w:tcPr>
            <w:tcW w:w="5920" w:type="dxa"/>
          </w:tcPr>
          <w:p w14:paraId="2A59EE92"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 lähteülesanne ja tehnilised tingimused projekteerimiseks</w:t>
            </w:r>
          </w:p>
        </w:tc>
        <w:tc>
          <w:tcPr>
            <w:tcW w:w="3291" w:type="dxa"/>
          </w:tcPr>
          <w:p w14:paraId="2A59EE93" w14:textId="77777777" w:rsidR="005B2F23" w:rsidRDefault="005B2F23" w:rsidP="005B2F23">
            <w:pPr>
              <w:rPr>
                <w:rFonts w:ascii="Times New Roman" w:hAnsi="Times New Roman" w:cs="Times New Roman"/>
                <w:i/>
                <w:sz w:val="24"/>
                <w:szCs w:val="24"/>
              </w:rPr>
            </w:pPr>
            <w:r w:rsidRPr="00DF5B6E">
              <w:rPr>
                <w:rFonts w:ascii="Times New Roman" w:hAnsi="Times New Roman" w:cs="Times New Roman"/>
                <w:i/>
                <w:sz w:val="24"/>
                <w:szCs w:val="24"/>
                <w:highlight w:val="lightGray"/>
              </w:rPr>
              <w:t>Selgitus tabeli täitmise osas.</w:t>
            </w:r>
          </w:p>
          <w:p w14:paraId="2A59EE94" w14:textId="77777777" w:rsidR="0043376E" w:rsidRPr="005B2F23" w:rsidRDefault="005B2F23" w:rsidP="0032599A">
            <w:pPr>
              <w:rPr>
                <w:rFonts w:ascii="Times New Roman" w:hAnsi="Times New Roman" w:cs="Times New Roman"/>
                <w:sz w:val="24"/>
                <w:szCs w:val="24"/>
              </w:rPr>
            </w:pPr>
            <w:r>
              <w:rPr>
                <w:rFonts w:ascii="Times New Roman" w:hAnsi="Times New Roman" w:cs="Times New Roman"/>
                <w:sz w:val="24"/>
                <w:szCs w:val="24"/>
              </w:rPr>
              <w:t>Esitatud ehitusprojekti lähteülesanne.</w:t>
            </w:r>
          </w:p>
        </w:tc>
      </w:tr>
      <w:tr w:rsidR="0043376E" w:rsidRPr="0085124A" w14:paraId="2A59EE9C" w14:textId="77777777" w:rsidTr="0032599A">
        <w:tc>
          <w:tcPr>
            <w:tcW w:w="5920" w:type="dxa"/>
          </w:tcPr>
          <w:p w14:paraId="2A59EE96"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 asutuse poolt aktsepteeritud kõrvalekalded või luba erinevaid norme või standardeid kasutada</w:t>
            </w:r>
          </w:p>
        </w:tc>
        <w:tc>
          <w:tcPr>
            <w:tcW w:w="3291" w:type="dxa"/>
          </w:tcPr>
          <w:p w14:paraId="2A59EE97" w14:textId="77777777" w:rsidR="005B2F23" w:rsidRDefault="005B2F23" w:rsidP="005B2F23">
            <w:pPr>
              <w:rPr>
                <w:rFonts w:ascii="Times New Roman" w:hAnsi="Times New Roman" w:cs="Times New Roman"/>
                <w:i/>
                <w:sz w:val="24"/>
                <w:szCs w:val="24"/>
              </w:rPr>
            </w:pPr>
            <w:r w:rsidRPr="00DF5B6E">
              <w:rPr>
                <w:rFonts w:ascii="Times New Roman" w:hAnsi="Times New Roman" w:cs="Times New Roman"/>
                <w:i/>
                <w:sz w:val="24"/>
                <w:szCs w:val="24"/>
                <w:highlight w:val="lightGray"/>
              </w:rPr>
              <w:t>Selgitus tabeli täitmise osas.</w:t>
            </w:r>
            <w:r w:rsidR="00E12AF1" w:rsidRPr="00DF5B6E">
              <w:rPr>
                <w:rFonts w:ascii="Times New Roman" w:hAnsi="Times New Roman" w:cs="Times New Roman"/>
                <w:i/>
                <w:sz w:val="24"/>
                <w:szCs w:val="24"/>
                <w:highlight w:val="lightGray"/>
              </w:rPr>
              <w:t xml:space="preserve"> Valida sobivad sõnastused. Vajadusel võib täiendada.</w:t>
            </w:r>
          </w:p>
          <w:p w14:paraId="2A59EE98" w14:textId="77777777" w:rsidR="0043376E" w:rsidRDefault="005B2F23" w:rsidP="005B2F23">
            <w:pPr>
              <w:pStyle w:val="Loendilik"/>
              <w:numPr>
                <w:ilvl w:val="0"/>
                <w:numId w:val="5"/>
              </w:numPr>
              <w:rPr>
                <w:rFonts w:ascii="Times New Roman" w:hAnsi="Times New Roman" w:cs="Times New Roman"/>
                <w:sz w:val="24"/>
                <w:szCs w:val="24"/>
              </w:rPr>
            </w:pPr>
            <w:r w:rsidRPr="005B2F23">
              <w:rPr>
                <w:rFonts w:ascii="Times New Roman" w:hAnsi="Times New Roman" w:cs="Times New Roman"/>
                <w:sz w:val="24"/>
                <w:szCs w:val="24"/>
              </w:rPr>
              <w:t>Projektlahenduse koostamisel ei esine kõrvalekaldeid projekteerimist</w:t>
            </w:r>
          </w:p>
          <w:p w14:paraId="2A59EE99" w14:textId="77777777" w:rsidR="005B2F23" w:rsidRDefault="005B2F23" w:rsidP="005B2F23">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 xml:space="preserve">Projekteerimisel </w:t>
            </w:r>
            <w:r w:rsidR="00E12AF1">
              <w:rPr>
                <w:rFonts w:ascii="Times New Roman" w:hAnsi="Times New Roman" w:cs="Times New Roman"/>
                <w:sz w:val="24"/>
                <w:szCs w:val="24"/>
              </w:rPr>
              <w:t xml:space="preserve">esineb aktsepteeritud kõrvalekaldeid projekteerimist käsitlevast normdokumendist. Kõrvalekalded koos põhjendustega on toodud projekti seletuskirja punktis </w:t>
            </w:r>
            <w:r w:rsidR="00E12AF1" w:rsidRPr="00E12AF1">
              <w:rPr>
                <w:rFonts w:ascii="Times New Roman" w:hAnsi="Times New Roman" w:cs="Times New Roman"/>
                <w:sz w:val="24"/>
                <w:szCs w:val="24"/>
                <w:highlight w:val="yellow"/>
              </w:rPr>
              <w:t>…</w:t>
            </w:r>
            <w:r w:rsidR="00E12AF1">
              <w:rPr>
                <w:rFonts w:ascii="Times New Roman" w:hAnsi="Times New Roman" w:cs="Times New Roman"/>
                <w:sz w:val="24"/>
                <w:szCs w:val="24"/>
              </w:rPr>
              <w:t xml:space="preserve">  .</w:t>
            </w:r>
          </w:p>
          <w:p w14:paraId="2A59EE9A" w14:textId="77777777" w:rsidR="00E12AF1" w:rsidRDefault="00E12AF1" w:rsidP="005B2F23">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 xml:space="preserve">Projekti koostamisel on projekti tellija lubanud kasutada lähiriikide norme ja/või juhendmaterjale. Põhjendused on toodud projekti seletuskirja punktis </w:t>
            </w:r>
            <w:r w:rsidRPr="00E12AF1">
              <w:rPr>
                <w:rFonts w:ascii="Times New Roman" w:hAnsi="Times New Roman" w:cs="Times New Roman"/>
                <w:sz w:val="24"/>
                <w:szCs w:val="24"/>
                <w:highlight w:val="yellow"/>
              </w:rPr>
              <w:t>…</w:t>
            </w:r>
            <w:r>
              <w:rPr>
                <w:rFonts w:ascii="Times New Roman" w:hAnsi="Times New Roman" w:cs="Times New Roman"/>
                <w:sz w:val="24"/>
                <w:szCs w:val="24"/>
              </w:rPr>
              <w:t xml:space="preserve"> .</w:t>
            </w:r>
          </w:p>
          <w:p w14:paraId="2A59EE9B" w14:textId="77777777" w:rsidR="005B2F23" w:rsidRPr="00E12AF1" w:rsidRDefault="00E12AF1" w:rsidP="0032599A">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Projekti seletuskiri on esitatud.</w:t>
            </w:r>
          </w:p>
        </w:tc>
      </w:tr>
      <w:tr w:rsidR="0043376E" w:rsidRPr="0085124A" w14:paraId="2A59EEA0" w14:textId="77777777" w:rsidTr="0032599A">
        <w:tc>
          <w:tcPr>
            <w:tcW w:w="5920" w:type="dxa"/>
          </w:tcPr>
          <w:p w14:paraId="2A59EE9D"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 xml:space="preserve">Üldine tee ehitusprojekti kirjeldus, kus on välja toodud projekti eesmärgid koos kavandatava liikluskorralduse üldiste põhimõtetega, sealhulgas projektkiirused, kiiruste piirangud, olemasolev ja prognoositav liiklussagedus, ristmike läbilaskevõime arvutusandmed, jalakäijate ja </w:t>
            </w:r>
            <w:r w:rsidRPr="0085124A">
              <w:rPr>
                <w:rFonts w:ascii="Times New Roman" w:hAnsi="Times New Roman" w:cs="Times New Roman"/>
                <w:color w:val="202020"/>
                <w:sz w:val="24"/>
                <w:szCs w:val="24"/>
                <w:shd w:val="clear" w:color="auto" w:fill="FFFFFF"/>
              </w:rPr>
              <w:lastRenderedPageBreak/>
              <w:t>jalgratturite prognoositav arv ja liiklemissuund ning projekti võimalikud keskkonnakaitselised piirangud</w:t>
            </w:r>
          </w:p>
        </w:tc>
        <w:tc>
          <w:tcPr>
            <w:tcW w:w="3291" w:type="dxa"/>
          </w:tcPr>
          <w:p w14:paraId="2A59EE9E" w14:textId="77777777" w:rsidR="00E12AF1" w:rsidRDefault="00E12AF1" w:rsidP="00E12AF1">
            <w:pPr>
              <w:rPr>
                <w:rFonts w:ascii="Times New Roman" w:hAnsi="Times New Roman" w:cs="Times New Roman"/>
                <w:i/>
                <w:sz w:val="24"/>
                <w:szCs w:val="24"/>
              </w:rPr>
            </w:pPr>
            <w:r w:rsidRPr="00DF5B6E">
              <w:rPr>
                <w:rFonts w:ascii="Times New Roman" w:hAnsi="Times New Roman" w:cs="Times New Roman"/>
                <w:i/>
                <w:sz w:val="24"/>
                <w:szCs w:val="24"/>
                <w:highlight w:val="lightGray"/>
              </w:rPr>
              <w:lastRenderedPageBreak/>
              <w:t>Selgitus tabeli täitmise osas. Üldjuhul esitatakse nõutud informatsioon projekti seletuskirjas.</w:t>
            </w:r>
          </w:p>
          <w:p w14:paraId="2A59EE9F" w14:textId="77777777" w:rsidR="0043376E" w:rsidRPr="0085124A" w:rsidRDefault="00E12AF1" w:rsidP="00E12AF1">
            <w:pPr>
              <w:rPr>
                <w:rFonts w:ascii="Times New Roman" w:hAnsi="Times New Roman" w:cs="Times New Roman"/>
                <w:sz w:val="24"/>
                <w:szCs w:val="24"/>
              </w:rPr>
            </w:pPr>
            <w:r>
              <w:rPr>
                <w:rFonts w:ascii="Times New Roman" w:hAnsi="Times New Roman" w:cs="Times New Roman"/>
                <w:sz w:val="24"/>
                <w:szCs w:val="24"/>
              </w:rPr>
              <w:t xml:space="preserve">Tabelis kirjeldatud </w:t>
            </w:r>
            <w:r>
              <w:rPr>
                <w:rFonts w:ascii="Times New Roman" w:hAnsi="Times New Roman" w:cs="Times New Roman"/>
                <w:sz w:val="24"/>
                <w:szCs w:val="24"/>
              </w:rPr>
              <w:lastRenderedPageBreak/>
              <w:t>informatsioon on esitatud projekti seletuskirjas. Projekti seletuskiri on esitatud.</w:t>
            </w:r>
          </w:p>
        </w:tc>
      </w:tr>
      <w:tr w:rsidR="0043376E" w:rsidRPr="0085124A" w14:paraId="2A59EEA3" w14:textId="77777777" w:rsidTr="0032599A">
        <w:tc>
          <w:tcPr>
            <w:tcW w:w="5920" w:type="dxa"/>
          </w:tcPr>
          <w:p w14:paraId="2A59EEA1"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lastRenderedPageBreak/>
              <w:t>Pädevale asutusele ja projekteerijale teadaolevad olemasolevad või kavandatavad ohutust mõjutavad objektid või tegevused, nagu koolimaja lähedus või regulaarsete ürituste korralduskoha lähedus</w:t>
            </w:r>
            <w:r w:rsidR="00E12AF1">
              <w:rPr>
                <w:rFonts w:ascii="Times New Roman" w:hAnsi="Times New Roman" w:cs="Times New Roman"/>
                <w:color w:val="202020"/>
                <w:sz w:val="24"/>
                <w:szCs w:val="24"/>
                <w:shd w:val="clear" w:color="auto" w:fill="FFFFFF"/>
              </w:rPr>
              <w:t>.</w:t>
            </w:r>
          </w:p>
        </w:tc>
        <w:tc>
          <w:tcPr>
            <w:tcW w:w="3291" w:type="dxa"/>
          </w:tcPr>
          <w:p w14:paraId="2A59EEA2" w14:textId="77777777" w:rsidR="0043376E" w:rsidRPr="0085124A" w:rsidRDefault="0043376E" w:rsidP="0032599A">
            <w:pPr>
              <w:rPr>
                <w:rFonts w:ascii="Times New Roman" w:hAnsi="Times New Roman" w:cs="Times New Roman"/>
                <w:sz w:val="24"/>
                <w:szCs w:val="24"/>
              </w:rPr>
            </w:pPr>
          </w:p>
        </w:tc>
      </w:tr>
      <w:tr w:rsidR="0043376E" w:rsidRPr="0085124A" w14:paraId="2A59EEA6" w14:textId="77777777" w:rsidTr="0032599A">
        <w:tc>
          <w:tcPr>
            <w:tcW w:w="5920" w:type="dxa"/>
          </w:tcPr>
          <w:p w14:paraId="2A59EEA4"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Andmed asjassepuutuvate liiklusõnnetuste kohta</w:t>
            </w:r>
          </w:p>
        </w:tc>
        <w:tc>
          <w:tcPr>
            <w:tcW w:w="3291" w:type="dxa"/>
          </w:tcPr>
          <w:p w14:paraId="2A59EEA5" w14:textId="77777777" w:rsidR="0043376E" w:rsidRPr="0085124A" w:rsidRDefault="00E12AF1" w:rsidP="0032599A">
            <w:pPr>
              <w:rPr>
                <w:rFonts w:ascii="Times New Roman" w:hAnsi="Times New Roman" w:cs="Times New Roman"/>
                <w:sz w:val="24"/>
                <w:szCs w:val="24"/>
              </w:rPr>
            </w:pPr>
            <w:r w:rsidRPr="00DF5B6E">
              <w:rPr>
                <w:rFonts w:ascii="Times New Roman" w:hAnsi="Times New Roman" w:cs="Times New Roman"/>
                <w:i/>
                <w:sz w:val="24"/>
                <w:szCs w:val="24"/>
                <w:highlight w:val="lightGray"/>
              </w:rPr>
              <w:t>Selgitus tabeli täitmise osas. Juhul, kui projekti koostamisel on nõutud andmeid liiklusõnnetuste kohta, siis esitada viited projekti vastavale osale. Juhul, kui liiklusõnnetuste info ja analüüs projektis puudub, tuleb anda viited Maa-ameti ja Liikluskindlustuse fondi kodulehele.</w:t>
            </w:r>
          </w:p>
        </w:tc>
      </w:tr>
      <w:tr w:rsidR="0043376E" w:rsidRPr="0085124A" w14:paraId="2A59EEAA" w14:textId="77777777" w:rsidTr="0032599A">
        <w:tc>
          <w:tcPr>
            <w:tcW w:w="5920" w:type="dxa"/>
          </w:tcPr>
          <w:p w14:paraId="2A59EEA7" w14:textId="77777777" w:rsidR="0043376E" w:rsidRPr="0085124A" w:rsidRDefault="0043376E" w:rsidP="0032599A">
            <w:pPr>
              <w:rPr>
                <w:rFonts w:ascii="Times New Roman" w:hAnsi="Times New Roman" w:cs="Times New Roman"/>
                <w:sz w:val="24"/>
                <w:szCs w:val="24"/>
              </w:rPr>
            </w:pPr>
            <w:r w:rsidRPr="0085124A">
              <w:rPr>
                <w:rStyle w:val="apple-converted-space"/>
                <w:rFonts w:ascii="Times New Roman" w:hAnsi="Times New Roman" w:cs="Times New Roman"/>
                <w:sz w:val="24"/>
                <w:szCs w:val="24"/>
                <w:bdr w:val="none" w:sz="0" w:space="0" w:color="auto" w:frame="1"/>
              </w:rPr>
              <w:t>V</w:t>
            </w:r>
            <w:r w:rsidRPr="0085124A">
              <w:rPr>
                <w:rFonts w:ascii="Times New Roman" w:hAnsi="Times New Roman" w:cs="Times New Roman"/>
                <w:color w:val="202020"/>
                <w:sz w:val="24"/>
                <w:szCs w:val="24"/>
                <w:shd w:val="clear" w:color="auto" w:fill="FFFFFF"/>
              </w:rPr>
              <w:t>arasemalt teostatud kontrollimiste või auditite aruanded, sealhulgas projekteerija või pädeva asutuse märkused ja eriarvamused audititele</w:t>
            </w:r>
          </w:p>
        </w:tc>
        <w:tc>
          <w:tcPr>
            <w:tcW w:w="3291" w:type="dxa"/>
          </w:tcPr>
          <w:p w14:paraId="2A59EEA8" w14:textId="77777777" w:rsidR="0043376E" w:rsidRDefault="00E12AF1" w:rsidP="00754346">
            <w:pPr>
              <w:rPr>
                <w:rFonts w:ascii="Times New Roman" w:hAnsi="Times New Roman" w:cs="Times New Roman"/>
                <w:sz w:val="24"/>
                <w:szCs w:val="24"/>
              </w:rPr>
            </w:pPr>
            <w:r w:rsidRPr="00DF5B6E">
              <w:rPr>
                <w:rFonts w:ascii="Times New Roman" w:hAnsi="Times New Roman" w:cs="Times New Roman"/>
                <w:i/>
                <w:sz w:val="24"/>
                <w:szCs w:val="24"/>
                <w:highlight w:val="lightGray"/>
              </w:rPr>
              <w:t>Selgitus tabeli täitmise osas. Juhul, kui antud objek</w:t>
            </w:r>
            <w:r w:rsidR="00754346">
              <w:rPr>
                <w:rFonts w:ascii="Times New Roman" w:hAnsi="Times New Roman" w:cs="Times New Roman"/>
                <w:i/>
                <w:sz w:val="24"/>
                <w:szCs w:val="24"/>
                <w:highlight w:val="lightGray"/>
              </w:rPr>
              <w:t>ti osas on varasemalt teostatu</w:t>
            </w:r>
            <w:r w:rsidR="00754346">
              <w:rPr>
                <w:rFonts w:ascii="Times New Roman" w:hAnsi="Times New Roman" w:cs="Times New Roman"/>
                <w:i/>
                <w:sz w:val="24"/>
                <w:szCs w:val="24"/>
              </w:rPr>
              <w:t>d liiklusohutusele avalduva mõju hindamist, tee ohutuse kontrollimist või auditeerimist tuleb esitada teostatud tööde aruanded ja tellija otsuse protokollid.</w:t>
            </w:r>
          </w:p>
          <w:p w14:paraId="2A59EEA9" w14:textId="77777777" w:rsidR="00754346" w:rsidRPr="00754346" w:rsidRDefault="00754346" w:rsidP="00754346">
            <w:pPr>
              <w:rPr>
                <w:rFonts w:ascii="Times New Roman" w:hAnsi="Times New Roman" w:cs="Times New Roman"/>
                <w:sz w:val="24"/>
                <w:szCs w:val="24"/>
              </w:rPr>
            </w:pPr>
          </w:p>
        </w:tc>
      </w:tr>
      <w:tr w:rsidR="0043376E" w:rsidRPr="0085124A" w14:paraId="2A59EEAD" w14:textId="77777777" w:rsidTr="0032599A">
        <w:tc>
          <w:tcPr>
            <w:tcW w:w="5920" w:type="dxa"/>
          </w:tcPr>
          <w:p w14:paraId="2A59EEAB"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sz w:val="24"/>
                <w:szCs w:val="24"/>
              </w:rPr>
              <w:t>Muud materjalid sh uuringute materjalid, mis võivad olla olulised auditeerimiseks</w:t>
            </w:r>
          </w:p>
        </w:tc>
        <w:tc>
          <w:tcPr>
            <w:tcW w:w="3291" w:type="dxa"/>
          </w:tcPr>
          <w:p w14:paraId="2A59EEAC" w14:textId="77777777" w:rsidR="0043376E" w:rsidRPr="0085124A" w:rsidRDefault="0043376E" w:rsidP="0032599A">
            <w:pPr>
              <w:rPr>
                <w:rFonts w:ascii="Times New Roman" w:hAnsi="Times New Roman" w:cs="Times New Roman"/>
                <w:sz w:val="24"/>
                <w:szCs w:val="24"/>
              </w:rPr>
            </w:pPr>
          </w:p>
        </w:tc>
      </w:tr>
    </w:tbl>
    <w:p w14:paraId="2A59EEAE" w14:textId="77777777" w:rsidR="005B2F23" w:rsidRDefault="005B2F23" w:rsidP="005B2F23">
      <w:pPr>
        <w:pStyle w:val="Vahedeta"/>
        <w:jc w:val="both"/>
        <w:rPr>
          <w:rFonts w:ascii="Times New Roman" w:hAnsi="Times New Roman" w:cs="Times New Roman"/>
          <w:sz w:val="24"/>
          <w:szCs w:val="24"/>
        </w:rPr>
      </w:pPr>
      <w:r w:rsidRPr="60D74B13">
        <w:rPr>
          <w:rFonts w:ascii="Times New Roman" w:hAnsi="Times New Roman" w:cs="Times New Roman"/>
          <w:sz w:val="24"/>
          <w:szCs w:val="24"/>
        </w:rPr>
        <w:t xml:space="preserve"> </w:t>
      </w:r>
    </w:p>
    <w:p w14:paraId="243E1CD6" w14:textId="77777777" w:rsidR="00CF14E4" w:rsidRPr="005920FB" w:rsidRDefault="00CF14E4" w:rsidP="00CF14E4">
      <w:pPr>
        <w:pStyle w:val="Pealkiri2"/>
        <w:numPr>
          <w:ilvl w:val="0"/>
          <w:numId w:val="3"/>
        </w:numPr>
      </w:pPr>
      <w:r>
        <w:t xml:space="preserve">Lisad: </w:t>
      </w:r>
    </w:p>
    <w:p w14:paraId="293B495D" w14:textId="77777777" w:rsidR="00CF14E4" w:rsidRPr="00CF14E4" w:rsidRDefault="00CF14E4" w:rsidP="60D74B13">
      <w:pPr>
        <w:spacing w:after="0" w:line="240" w:lineRule="auto"/>
        <w:jc w:val="both"/>
        <w:rPr>
          <w:rFonts w:ascii="Times New Roman" w:hAnsi="Times New Roman" w:cs="Times New Roman"/>
          <w:vanish/>
          <w:sz w:val="24"/>
          <w:szCs w:val="24"/>
        </w:rPr>
      </w:pPr>
    </w:p>
    <w:p w14:paraId="7DE507F5" w14:textId="34E3D507" w:rsidR="00CF14E4" w:rsidRDefault="27EE2DE3" w:rsidP="60D74B13">
      <w:pPr>
        <w:spacing w:after="0" w:line="240" w:lineRule="auto"/>
        <w:jc w:val="both"/>
        <w:rPr>
          <w:rFonts w:ascii="Times New Roman" w:hAnsi="Times New Roman" w:cs="Times New Roman"/>
          <w:sz w:val="24"/>
          <w:szCs w:val="24"/>
        </w:rPr>
      </w:pPr>
      <w:r w:rsidRPr="2BFEA9D6">
        <w:rPr>
          <w:rFonts w:ascii="Times New Roman" w:hAnsi="Times New Roman" w:cs="Times New Roman"/>
          <w:sz w:val="24"/>
          <w:szCs w:val="24"/>
        </w:rPr>
        <w:t xml:space="preserve">9.1 </w:t>
      </w:r>
      <w:r w:rsidR="00CF14E4" w:rsidRPr="2BFEA9D6">
        <w:rPr>
          <w:rFonts w:ascii="Times New Roman" w:hAnsi="Times New Roman" w:cs="Times New Roman"/>
          <w:sz w:val="24"/>
          <w:szCs w:val="24"/>
        </w:rPr>
        <w:t xml:space="preserve">Auditi aruande vormistamise mall. </w:t>
      </w:r>
    </w:p>
    <w:p w14:paraId="566F2BC4" w14:textId="61B31090" w:rsidR="00CF14E4" w:rsidRDefault="6C1A7DAA" w:rsidP="60D74B13">
      <w:pPr>
        <w:pStyle w:val="Vahedeta"/>
        <w:jc w:val="both"/>
        <w:rPr>
          <w:rFonts w:ascii="Times New Roman" w:hAnsi="Times New Roman" w:cs="Times New Roman"/>
          <w:sz w:val="24"/>
          <w:szCs w:val="24"/>
        </w:rPr>
      </w:pPr>
      <w:bookmarkStart w:id="0" w:name="_Hlk517101994"/>
      <w:r w:rsidRPr="2BFEA9D6">
        <w:rPr>
          <w:rFonts w:ascii="Times New Roman" w:hAnsi="Times New Roman" w:cs="Times New Roman"/>
          <w:sz w:val="24"/>
          <w:szCs w:val="24"/>
        </w:rPr>
        <w:t xml:space="preserve">9.2 </w:t>
      </w:r>
      <w:r w:rsidR="00CF14E4" w:rsidRPr="2BFEA9D6">
        <w:rPr>
          <w:rFonts w:ascii="Times New Roman" w:hAnsi="Times New Roman" w:cs="Times New Roman"/>
          <w:sz w:val="24"/>
          <w:szCs w:val="24"/>
        </w:rPr>
        <w:t xml:space="preserve">Pädeva asutuse otsuse protokolli </w:t>
      </w:r>
      <w:bookmarkEnd w:id="0"/>
      <w:r w:rsidR="00CF14E4" w:rsidRPr="2BFEA9D6">
        <w:rPr>
          <w:rFonts w:ascii="Times New Roman" w:hAnsi="Times New Roman" w:cs="Times New Roman"/>
          <w:sz w:val="24"/>
          <w:szCs w:val="24"/>
        </w:rPr>
        <w:t>näidis.</w:t>
      </w:r>
    </w:p>
    <w:p w14:paraId="2D8F48A5" w14:textId="3BE8B625" w:rsidR="00F9672A" w:rsidRDefault="00F9672A" w:rsidP="60D74B13">
      <w:pPr>
        <w:pStyle w:val="Vahedeta"/>
        <w:jc w:val="both"/>
        <w:rPr>
          <w:rFonts w:ascii="Times New Roman" w:hAnsi="Times New Roman" w:cs="Times New Roman"/>
          <w:sz w:val="24"/>
          <w:szCs w:val="24"/>
        </w:rPr>
      </w:pPr>
      <w:r>
        <w:rPr>
          <w:rFonts w:ascii="Times New Roman" w:hAnsi="Times New Roman" w:cs="Times New Roman"/>
          <w:sz w:val="24"/>
          <w:szCs w:val="24"/>
        </w:rPr>
        <w:t>9.3. Projekti asukoha skeem</w:t>
      </w:r>
    </w:p>
    <w:p w14:paraId="69A08BBF" w14:textId="7D4C8580" w:rsidR="00F9672A" w:rsidRDefault="00F9672A" w:rsidP="60D74B13">
      <w:pPr>
        <w:pStyle w:val="Vahedeta"/>
        <w:jc w:val="both"/>
        <w:rPr>
          <w:rFonts w:ascii="Times New Roman" w:hAnsi="Times New Roman" w:cs="Times New Roman"/>
          <w:sz w:val="24"/>
          <w:szCs w:val="24"/>
        </w:rPr>
      </w:pPr>
      <w:r>
        <w:rPr>
          <w:rFonts w:ascii="Times New Roman" w:hAnsi="Times New Roman" w:cs="Times New Roman"/>
          <w:sz w:val="24"/>
          <w:szCs w:val="24"/>
        </w:rPr>
        <w:t>9.4. Sõmeru ringristmiku objekti teostusjoonis.</w:t>
      </w:r>
    </w:p>
    <w:p w14:paraId="0791919C" w14:textId="77777777" w:rsidR="00CF14E4" w:rsidRPr="0085124A" w:rsidRDefault="00CF14E4" w:rsidP="005B2F23">
      <w:pPr>
        <w:pStyle w:val="Vahedeta"/>
        <w:jc w:val="both"/>
        <w:rPr>
          <w:rFonts w:ascii="Times New Roman" w:hAnsi="Times New Roman" w:cs="Times New Roman"/>
          <w:sz w:val="24"/>
          <w:szCs w:val="24"/>
        </w:rPr>
      </w:pPr>
    </w:p>
    <w:sectPr w:rsidR="00CF14E4" w:rsidRPr="008512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3178"/>
    <w:multiLevelType w:val="multilevel"/>
    <w:tmpl w:val="F5FED4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7106A7"/>
    <w:multiLevelType w:val="multilevel"/>
    <w:tmpl w:val="C36206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4B6B37"/>
    <w:multiLevelType w:val="multilevel"/>
    <w:tmpl w:val="CB5AC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5" w15:restartNumberingAfterBreak="0">
    <w:nsid w:val="3C055528"/>
    <w:multiLevelType w:val="hybridMultilevel"/>
    <w:tmpl w:val="4EE895D2"/>
    <w:lvl w:ilvl="0" w:tplc="5B486F90">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581D6E"/>
    <w:multiLevelType w:val="multilevel"/>
    <w:tmpl w:val="85F22DA0"/>
    <w:lvl w:ilvl="0">
      <w:start w:val="1"/>
      <w:numFmt w:val="decimal"/>
      <w:lvlText w:val="%1."/>
      <w:lvlJc w:val="left"/>
      <w:pPr>
        <w:ind w:left="360" w:hanging="360"/>
      </w:pPr>
      <w:rPr>
        <w:rFonts w:hint="default"/>
      </w:rPr>
    </w:lvl>
    <w:lvl w:ilvl="1">
      <w:start w:val="1"/>
      <w:numFmt w:val="decimal"/>
      <w:isLgl/>
      <w:lvlText w:val="%2."/>
      <w:lvlJc w:val="left"/>
      <w:pPr>
        <w:ind w:left="360" w:hanging="360"/>
      </w:pPr>
      <w:rPr>
        <w:rFonts w:asciiTheme="majorHAnsi" w:eastAsiaTheme="majorEastAsia" w:hAnsiTheme="majorHAnsi" w:cstheme="majorBidi"/>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2"/>
  </w:num>
  <w:num w:numId="3">
    <w:abstractNumId w:val="1"/>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6D92"/>
    <w:rsid w:val="00087B3B"/>
    <w:rsid w:val="000A0C9D"/>
    <w:rsid w:val="000B3605"/>
    <w:rsid w:val="000C144F"/>
    <w:rsid w:val="0010630C"/>
    <w:rsid w:val="00191CFB"/>
    <w:rsid w:val="002275C3"/>
    <w:rsid w:val="00332D6C"/>
    <w:rsid w:val="00365633"/>
    <w:rsid w:val="00386D92"/>
    <w:rsid w:val="003D3C95"/>
    <w:rsid w:val="0043376E"/>
    <w:rsid w:val="0044195B"/>
    <w:rsid w:val="00492CCD"/>
    <w:rsid w:val="004A06B5"/>
    <w:rsid w:val="004D532C"/>
    <w:rsid w:val="00522A21"/>
    <w:rsid w:val="00526304"/>
    <w:rsid w:val="005B2F23"/>
    <w:rsid w:val="005B4067"/>
    <w:rsid w:val="006F7C71"/>
    <w:rsid w:val="00754346"/>
    <w:rsid w:val="00774D24"/>
    <w:rsid w:val="00781984"/>
    <w:rsid w:val="007B28F1"/>
    <w:rsid w:val="0085124A"/>
    <w:rsid w:val="008C48E1"/>
    <w:rsid w:val="008D7EBC"/>
    <w:rsid w:val="008E43D2"/>
    <w:rsid w:val="008F1501"/>
    <w:rsid w:val="00914A4B"/>
    <w:rsid w:val="0096262D"/>
    <w:rsid w:val="00A51EDE"/>
    <w:rsid w:val="00A715C3"/>
    <w:rsid w:val="00B420A3"/>
    <w:rsid w:val="00BE6814"/>
    <w:rsid w:val="00C864F7"/>
    <w:rsid w:val="00CB4125"/>
    <w:rsid w:val="00CF14E4"/>
    <w:rsid w:val="00D93EFD"/>
    <w:rsid w:val="00D95F01"/>
    <w:rsid w:val="00D97A3D"/>
    <w:rsid w:val="00DB3FD1"/>
    <w:rsid w:val="00DF5B6E"/>
    <w:rsid w:val="00E12AF1"/>
    <w:rsid w:val="00E362BD"/>
    <w:rsid w:val="00E4534A"/>
    <w:rsid w:val="00E46884"/>
    <w:rsid w:val="00E92A36"/>
    <w:rsid w:val="00F8601F"/>
    <w:rsid w:val="00F9672A"/>
    <w:rsid w:val="00FA063F"/>
    <w:rsid w:val="00FC617E"/>
    <w:rsid w:val="1BD5485A"/>
    <w:rsid w:val="27EE2DE3"/>
    <w:rsid w:val="2877F0E9"/>
    <w:rsid w:val="2BFEA9D6"/>
    <w:rsid w:val="60D74B13"/>
    <w:rsid w:val="6C1A7DAA"/>
    <w:rsid w:val="7B9FB1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9EE75"/>
  <w15:docId w15:val="{966DA317-8BBB-41EA-8AF4-5E8F9C851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86D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386D9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86D92"/>
    <w:rPr>
      <w:rFonts w:asciiTheme="majorHAnsi" w:eastAsiaTheme="majorEastAsia" w:hAnsiTheme="majorHAnsi" w:cstheme="majorBidi"/>
      <w:b/>
      <w:bCs/>
      <w:color w:val="365F91" w:themeColor="accent1" w:themeShade="BF"/>
      <w:sz w:val="28"/>
      <w:szCs w:val="28"/>
    </w:rPr>
  </w:style>
  <w:style w:type="paragraph" w:styleId="Vahedeta">
    <w:name w:val="No Spacing"/>
    <w:uiPriority w:val="1"/>
    <w:qFormat/>
    <w:rsid w:val="00386D92"/>
    <w:pPr>
      <w:spacing w:after="0" w:line="240" w:lineRule="auto"/>
    </w:pPr>
  </w:style>
  <w:style w:type="character" w:customStyle="1" w:styleId="Pealkiri2Mrk">
    <w:name w:val="Pealkiri 2 Märk"/>
    <w:basedOn w:val="Liguvaikefont"/>
    <w:link w:val="Pealkiri2"/>
    <w:uiPriority w:val="9"/>
    <w:rsid w:val="00386D92"/>
    <w:rPr>
      <w:rFonts w:asciiTheme="majorHAnsi" w:eastAsiaTheme="majorEastAsia" w:hAnsiTheme="majorHAnsi" w:cstheme="majorBidi"/>
      <w:b/>
      <w:bCs/>
      <w:color w:val="4F81BD" w:themeColor="accent1"/>
      <w:sz w:val="26"/>
      <w:szCs w:val="26"/>
    </w:rPr>
  </w:style>
  <w:style w:type="paragraph" w:styleId="Loendilik">
    <w:name w:val="List Paragraph"/>
    <w:basedOn w:val="Normaallaad"/>
    <w:uiPriority w:val="34"/>
    <w:qFormat/>
    <w:rsid w:val="00386D92"/>
    <w:pPr>
      <w:ind w:left="720"/>
      <w:contextualSpacing/>
    </w:pPr>
  </w:style>
  <w:style w:type="table" w:styleId="Kontuurtabel">
    <w:name w:val="Table Grid"/>
    <w:basedOn w:val="Normaaltabel"/>
    <w:uiPriority w:val="59"/>
    <w:rsid w:val="0043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Liguvaikefont"/>
    <w:rsid w:val="0043376E"/>
  </w:style>
  <w:style w:type="paragraph" w:styleId="Jutumullitekst">
    <w:name w:val="Balloon Text"/>
    <w:basedOn w:val="Normaallaad"/>
    <w:link w:val="JutumullitekstMrk"/>
    <w:uiPriority w:val="99"/>
    <w:semiHidden/>
    <w:unhideWhenUsed/>
    <w:rsid w:val="00CF14E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F14E4"/>
    <w:rPr>
      <w:rFonts w:ascii="Segoe UI" w:hAnsi="Segoe UI" w:cs="Segoe UI"/>
      <w:sz w:val="18"/>
      <w:szCs w:val="18"/>
    </w:rPr>
  </w:style>
  <w:style w:type="character" w:styleId="Kommentaariviide">
    <w:name w:val="annotation reference"/>
    <w:basedOn w:val="Liguvaikefont"/>
    <w:uiPriority w:val="99"/>
    <w:semiHidden/>
    <w:unhideWhenUsed/>
    <w:rsid w:val="004D532C"/>
    <w:rPr>
      <w:sz w:val="16"/>
      <w:szCs w:val="16"/>
    </w:rPr>
  </w:style>
  <w:style w:type="paragraph" w:styleId="Kommentaaritekst">
    <w:name w:val="annotation text"/>
    <w:basedOn w:val="Normaallaad"/>
    <w:link w:val="KommentaaritekstMrk"/>
    <w:uiPriority w:val="99"/>
    <w:semiHidden/>
    <w:unhideWhenUsed/>
    <w:rsid w:val="004D532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D532C"/>
    <w:rPr>
      <w:sz w:val="20"/>
      <w:szCs w:val="20"/>
    </w:rPr>
  </w:style>
  <w:style w:type="paragraph" w:styleId="Kommentaariteema">
    <w:name w:val="annotation subject"/>
    <w:basedOn w:val="Kommentaaritekst"/>
    <w:next w:val="Kommentaaritekst"/>
    <w:link w:val="KommentaariteemaMrk"/>
    <w:uiPriority w:val="99"/>
    <w:semiHidden/>
    <w:unhideWhenUsed/>
    <w:rsid w:val="004D532C"/>
    <w:rPr>
      <w:b/>
      <w:bCs/>
    </w:rPr>
  </w:style>
  <w:style w:type="character" w:customStyle="1" w:styleId="KommentaariteemaMrk">
    <w:name w:val="Kommentaari teema Märk"/>
    <w:basedOn w:val="KommentaaritekstMrk"/>
    <w:link w:val="Kommentaariteema"/>
    <w:uiPriority w:val="99"/>
    <w:semiHidden/>
    <w:rsid w:val="004D53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6" ma:contentTypeDescription="Create a new document." ma:contentTypeScope="" ma:versionID="1f148fad9306e72f004f5cae05251073">
  <xsd:schema xmlns:xsd="http://www.w3.org/2001/XMLSchema" xmlns:xs="http://www.w3.org/2001/XMLSchema" xmlns:p="http://schemas.microsoft.com/office/2006/metadata/properties" xmlns:ns2="51627570-ca08-4148-bbd2-4e6b21368547" xmlns:ns3="56a54974-3151-4eb6-ad87-6a8c0ed89363" xmlns:ns4="00ad7483-47b0-434e-9f6c-b128bbe2d6bf" targetNamespace="http://schemas.microsoft.com/office/2006/metadata/properties" ma:root="true" ma:fieldsID="0608d9f88c5aa360d2f2767cd33ca899" ns2:_="" ns3:_="" ns4:_="">
    <xsd:import namespace="51627570-ca08-4148-bbd2-4e6b21368547"/>
    <xsd:import namespace="56a54974-3151-4eb6-ad87-6a8c0ed89363"/>
    <xsd:import namespace="00ad7483-47b0-434e-9f6c-b128bbe2d6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6a54974-3151-4eb6-ad87-6a8c0ed89363">
      <UserInfo>
        <DisplayName>Kalmer Helgand</DisplayName>
        <AccountId>273</AccountId>
        <AccountType/>
      </UserInfo>
    </SharedWithUsers>
    <TaxCatchAll xmlns="00ad7483-47b0-434e-9f6c-b128bbe2d6bf" xsi:nil="true"/>
    <lcf76f155ced4ddcb4097134ff3c332f xmlns="51627570-ca08-4148-bbd2-4e6b2136854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C6A33-9CF3-4A43-856A-BC6D03EB0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27570-ca08-4148-bbd2-4e6b21368547"/>
    <ds:schemaRef ds:uri="56a54974-3151-4eb6-ad87-6a8c0ed89363"/>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34759-7B5B-41D2-9BBD-A10F2BCE1D5B}">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51627570-ca08-4148-bbd2-4e6b21368547"/>
    <ds:schemaRef ds:uri="http://schemas.openxmlformats.org/package/2006/metadata/core-properties"/>
    <ds:schemaRef ds:uri="56a54974-3151-4eb6-ad87-6a8c0ed89363"/>
    <ds:schemaRef ds:uri="http://www.w3.org/XML/1998/namespace"/>
    <ds:schemaRef ds:uri="00ad7483-47b0-434e-9f6c-b128bbe2d6bf"/>
  </ds:schemaRefs>
</ds:datastoreItem>
</file>

<file path=customXml/itemProps3.xml><?xml version="1.0" encoding="utf-8"?>
<ds:datastoreItem xmlns:ds="http://schemas.openxmlformats.org/officeDocument/2006/customXml" ds:itemID="{627361FD-5DF8-4394-9891-244C570ECE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843</Words>
  <Characters>4895</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Marko Aava</cp:lastModifiedBy>
  <cp:revision>44</cp:revision>
  <cp:lastPrinted>2017-01-02T07:40:00Z</cp:lastPrinted>
  <dcterms:created xsi:type="dcterms:W3CDTF">2016-12-04T18:33:00Z</dcterms:created>
  <dcterms:modified xsi:type="dcterms:W3CDTF">2022-06-14T09:15:00Z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